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B" w:rsidRPr="00AB02CB" w:rsidRDefault="00AB02CB" w:rsidP="00AB02CB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</w:rPr>
      </w:pPr>
      <w:r w:rsidRPr="00AB02CB">
        <w:rPr>
          <w:rFonts w:ascii="Arial" w:eastAsia="Times New Roman" w:hAnsi="Arial" w:cs="Arial"/>
          <w:color w:val="007AD0"/>
          <w:kern w:val="36"/>
          <w:sz w:val="30"/>
          <w:szCs w:val="30"/>
        </w:rPr>
        <w:t>Финансовое просвещение</w:t>
      </w:r>
    </w:p>
    <w:tbl>
      <w:tblPr>
        <w:tblW w:w="7864" w:type="dxa"/>
        <w:tblCellMar>
          <w:left w:w="0" w:type="dxa"/>
          <w:right w:w="0" w:type="dxa"/>
        </w:tblCellMar>
        <w:tblLook w:val="04A0"/>
      </w:tblPr>
      <w:tblGrid>
        <w:gridCol w:w="7864"/>
      </w:tblGrid>
      <w:tr w:rsidR="00AB02CB" w:rsidRPr="00AB02CB" w:rsidTr="00AB02CB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44"/>
            </w:tblGrid>
            <w:tr w:rsidR="00AB02CB" w:rsidRPr="00AB02CB">
              <w:tc>
                <w:tcPr>
                  <w:tcW w:w="9000" w:type="dxa"/>
                  <w:tcBorders>
                    <w:top w:val="single" w:sz="4" w:space="0" w:color="555555"/>
                    <w:left w:val="single" w:sz="4" w:space="0" w:color="555555"/>
                    <w:bottom w:val="single" w:sz="4" w:space="0" w:color="555555"/>
                    <w:right w:val="single" w:sz="4" w:space="0" w:color="555555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4"/>
                  </w:tblGrid>
                  <w:tr w:rsidR="00AB02CB" w:rsidRPr="00AB02CB">
                    <w:tc>
                      <w:tcPr>
                        <w:tcW w:w="0" w:type="auto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06"/>
                          <w:gridCol w:w="389"/>
                          <w:gridCol w:w="414"/>
                        </w:tblGrid>
                        <w:tr w:rsidR="00AB02CB" w:rsidRPr="00AB02CB">
                          <w:tc>
                            <w:tcPr>
                              <w:tcW w:w="8100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Открыт прием заявок на III Всероссийский конкурс образовательных программ по финансовой грамотности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На конкурс могут быть представлены методические разработки учителей, включивших модуль «Основы финансовой грамотности» в программы обязательных предметов «Обществознание», «Экономика», «Технология», «Окружающий мир», «Математика», предметов по выбору учащихся и факультативных занятий на 2018/2019 учебный год, а также планирующих ввести этот курс в образовательный процесс.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Конкурс организуется Ассоциацией «Сообщество профессионалов финансового рынка «САПФИР» и проводится при экспертной и информационной поддержке Банка Росси и АО «Издательство «Просвещение».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4" w:tgtFrame="_blank" w:history="1">
                                <w:r w:rsidRPr="00AB02C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18"/>
                                    <w:u w:val="single"/>
                                  </w:rPr>
                                  <w:t>Заявки принимаются</w:t>
                                </w:r>
                              </w:hyperlink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 xml:space="preserve"> с 17 декабря по 21 января. Конкурсную работу можно отправить как в виде текста, так и в </w:t>
                              </w:r>
                              <w:proofErr w:type="spellStart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мультимедийном</w:t>
                              </w:r>
                              <w:proofErr w:type="spellEnd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 xml:space="preserve"> формате (презентация, видеоролик, интерактивное задание). Принять участие можно в одной или в нескольких номинациях: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– «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Лучшая рабочая программа учебного курса по финансовой грамотности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» (</w:t>
                              </w:r>
                              <w:proofErr w:type="spellStart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подноминации</w:t>
                              </w:r>
                              <w:proofErr w:type="spellEnd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: для начального общего, основного общего, среднего общего образования);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– «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 xml:space="preserve">Лучший комплекс практических и </w:t>
                              </w:r>
                              <w:proofErr w:type="spellStart"/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межпредметных</w:t>
                              </w:r>
                              <w:proofErr w:type="spellEnd"/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 xml:space="preserve"> заданий по финансовой грамотности с описанием алгоритма выполнения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»;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– «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Лучший обучающий цифровой продукт по финансовой грамотности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».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Итоги конкурса будут объявлены 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7 февраля 2019 года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. Победителей определит конкурсная комиссия, в которую входят педагоги-практики и представители финансовых организаций. Финалисты, занявшие первые места, получат дипломы, учебно-методические комплекты (УМК) «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77777"/>
                                  <w:sz w:val="18"/>
                                </w:rPr>
                                <w:t>Основы финансовой грамотности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» для одного учебного класса, а также соответствующее количество лицензий для активации их электронной версии. Участники, занявшие вторые и третьи места, получат лицензионную версию УМК для одного учебного класса. Всем конкурсантам выдадут сертификаты об участии в мероприятии.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Результаты конкурса и работы победителей будут опубликованы на сайтах организаторов – Ассоциации «САПФИР», издательства «Просвещение» и Банка России.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Телефон: 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005BD1"/>
                                  <w:sz w:val="18"/>
                                  <w:szCs w:val="18"/>
                                </w:rPr>
                                <w:t>+7 (495) 911-67-00</w:t>
                              </w: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 xml:space="preserve">,  </w:t>
                              </w:r>
                              <w:proofErr w:type="spellStart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доб</w:t>
                              </w:r>
                              <w:proofErr w:type="spellEnd"/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. 204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</w:rPr>
                                <w:t>Электронная почта: </w:t>
                              </w:r>
                              <w:hyperlink r:id="rId5" w:history="1">
                                <w:r w:rsidRPr="00AB02CB">
                                  <w:rPr>
                                    <w:rFonts w:ascii="Arial" w:eastAsia="Times New Roman" w:hAnsi="Arial" w:cs="Arial"/>
                                    <w:color w:val="0077CC"/>
                                    <w:sz w:val="18"/>
                                    <w:u w:val="single"/>
                                  </w:rPr>
                                  <w:t>info@dnifg.ru</w:t>
                                </w:r>
                              </w:hyperlink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7AD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1" name="Рисунок 1" descr="Хочу такой сайт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Хочу такой сайт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B02CB" w:rsidRPr="00AB02CB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02CB" w:rsidRPr="00AB02CB" w:rsidRDefault="00AB02CB" w:rsidP="00AB02CB">
                        <w:pPr>
                          <w:spacing w:after="0" w:line="275" w:lineRule="atLeast"/>
                          <w:rPr>
                            <w:rFonts w:ascii="Tahoma" w:eastAsia="Times New Roman" w:hAnsi="Tahoma" w:cs="Tahoma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02CB" w:rsidRPr="00AB02CB" w:rsidRDefault="00AB02CB" w:rsidP="00AB02CB">
                  <w:pPr>
                    <w:spacing w:after="0" w:line="275" w:lineRule="atLeast"/>
                    <w:rPr>
                      <w:rFonts w:ascii="Tahoma" w:eastAsia="Times New Roman" w:hAnsi="Tahoma" w:cs="Tahoma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AB02CB" w:rsidRPr="00AB02CB" w:rsidRDefault="00AB02CB" w:rsidP="00AB02CB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AB02CB" w:rsidRPr="00AB02CB" w:rsidTr="00AB02CB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44"/>
            </w:tblGrid>
            <w:tr w:rsidR="00AB02CB" w:rsidRPr="00AB02CB">
              <w:tc>
                <w:tcPr>
                  <w:tcW w:w="9000" w:type="dxa"/>
                  <w:tcBorders>
                    <w:top w:val="single" w:sz="4" w:space="0" w:color="555555"/>
                    <w:left w:val="single" w:sz="4" w:space="0" w:color="555555"/>
                    <w:bottom w:val="single" w:sz="4" w:space="0" w:color="555555"/>
                    <w:right w:val="single" w:sz="4" w:space="0" w:color="555555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4"/>
                  </w:tblGrid>
                  <w:tr w:rsidR="00AB02CB" w:rsidRPr="00AB02CB">
                    <w:tc>
                      <w:tcPr>
                        <w:tcW w:w="0" w:type="auto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"/>
                          <w:gridCol w:w="7495"/>
                          <w:gridCol w:w="155"/>
                        </w:tblGrid>
                        <w:tr w:rsidR="00AB02CB" w:rsidRPr="00AB02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02CB" w:rsidRPr="00AB02CB">
                          <w:tc>
                            <w:tcPr>
                              <w:tcW w:w="225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550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hideMark/>
                            </w:tcPr>
                            <w:tbl>
                              <w:tblPr>
                                <w:tblW w:w="7475" w:type="dxa"/>
                                <w:shd w:val="clear" w:color="auto" w:fill="CC141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3"/>
                                <w:gridCol w:w="5108"/>
                                <w:gridCol w:w="1184"/>
                              </w:tblGrid>
                              <w:tr w:rsidR="00AB02CB" w:rsidRPr="00AB02CB">
                                <w:trPr>
                                  <w:trHeight w:val="501"/>
                                </w:trPr>
                                <w:tc>
                                  <w:tcPr>
                                    <w:tcW w:w="263" w:type="dxa"/>
                                    <w:tcBorders>
                                      <w:top w:val="single" w:sz="4" w:space="0" w:color="555555"/>
                                      <w:left w:val="single" w:sz="4" w:space="0" w:color="555555"/>
                                      <w:bottom w:val="single" w:sz="4" w:space="0" w:color="555555"/>
                                      <w:right w:val="single" w:sz="4" w:space="0" w:color="555555"/>
                                    </w:tcBorders>
                                    <w:shd w:val="clear" w:color="auto" w:fill="CC1414"/>
                                    <w:vAlign w:val="center"/>
                                    <w:hideMark/>
                                  </w:tcPr>
                                  <w:p w:rsidR="00AB02CB" w:rsidRPr="00AB02CB" w:rsidRDefault="00AB02CB" w:rsidP="00AB02CB">
                                    <w:pPr>
                                      <w:spacing w:after="0" w:line="275" w:lineRule="atLeast"/>
                                      <w:rPr>
                                        <w:rFonts w:ascii="Tahoma" w:eastAsia="Times New Roman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AB02CB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single" w:sz="4" w:space="0" w:color="555555"/>
                                      <w:left w:val="single" w:sz="4" w:space="0" w:color="555555"/>
                                      <w:bottom w:val="single" w:sz="4" w:space="0" w:color="555555"/>
                                      <w:right w:val="single" w:sz="4" w:space="0" w:color="555555"/>
                                    </w:tcBorders>
                                    <w:shd w:val="clear" w:color="auto" w:fill="CC1414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088"/>
                                    </w:tblGrid>
                                    <w:tr w:rsidR="00AB02CB" w:rsidRPr="00AB02CB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555555"/>
                                            <w:left w:val="single" w:sz="4" w:space="0" w:color="555555"/>
                                            <w:bottom w:val="single" w:sz="4" w:space="0" w:color="555555"/>
                                            <w:right w:val="single" w:sz="4" w:space="0" w:color="555555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B02CB" w:rsidRPr="00AB02CB" w:rsidRDefault="00AB02CB" w:rsidP="00AB02C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" w:tgtFrame="_blank" w:history="1">
                                            <w:r w:rsidRPr="00AB02C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u w:val="single"/>
                                              </w:rPr>
                                              <w:t>Подробнее о Конкурсе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B02CB" w:rsidRPr="00AB02CB" w:rsidRDefault="00AB02CB" w:rsidP="00AB02CB">
                                    <w:pPr>
                                      <w:spacing w:after="0" w:line="275" w:lineRule="atLeast"/>
                                      <w:rPr>
                                        <w:rFonts w:ascii="Tahoma" w:eastAsia="Times New Roman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3" w:type="dxa"/>
                                    <w:tcBorders>
                                      <w:top w:val="single" w:sz="4" w:space="0" w:color="555555"/>
                                      <w:left w:val="single" w:sz="4" w:space="0" w:color="555555"/>
                                      <w:bottom w:val="single" w:sz="4" w:space="0" w:color="555555"/>
                                      <w:right w:val="single" w:sz="4" w:space="0" w:color="555555"/>
                                    </w:tcBorders>
                                    <w:shd w:val="clear" w:color="auto" w:fill="CC1414"/>
                                    <w:vAlign w:val="center"/>
                                    <w:hideMark/>
                                  </w:tcPr>
                                  <w:p w:rsidR="00AB02CB" w:rsidRPr="00AB02CB" w:rsidRDefault="00AB02CB" w:rsidP="00AB02CB">
                                    <w:pPr>
                                      <w:spacing w:after="0" w:line="275" w:lineRule="atLeast"/>
                                      <w:rPr>
                                        <w:rFonts w:ascii="Tahoma" w:eastAsia="Times New Roman" w:hAnsi="Tahoma" w:cs="Tahoma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 w:rsidRPr="00AB02CB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02CB" w:rsidRPr="00AB02CB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B02CB" w:rsidRPr="00AB02CB" w:rsidRDefault="00AB02CB" w:rsidP="00AB02CB">
                        <w:pPr>
                          <w:spacing w:after="0" w:line="275" w:lineRule="atLeast"/>
                          <w:rPr>
                            <w:rFonts w:ascii="Tahoma" w:eastAsia="Times New Roman" w:hAnsi="Tahoma" w:cs="Tahoma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02CB" w:rsidRPr="00AB02CB" w:rsidRDefault="00AB02CB" w:rsidP="00AB02CB">
                  <w:pPr>
                    <w:spacing w:after="0" w:line="275" w:lineRule="atLeast"/>
                    <w:rPr>
                      <w:rFonts w:ascii="Tahoma" w:eastAsia="Times New Roman" w:hAnsi="Tahoma" w:cs="Tahoma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AB02CB" w:rsidRPr="00AB02CB" w:rsidRDefault="00AB02CB" w:rsidP="00AB02CB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AB02CB" w:rsidRPr="00AB02CB" w:rsidTr="00AB02CB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844"/>
            </w:tblGrid>
            <w:tr w:rsidR="00AB02CB" w:rsidRPr="00AB02CB">
              <w:tc>
                <w:tcPr>
                  <w:tcW w:w="9000" w:type="dxa"/>
                  <w:tcBorders>
                    <w:top w:val="single" w:sz="4" w:space="0" w:color="555555"/>
                    <w:left w:val="single" w:sz="4" w:space="0" w:color="555555"/>
                    <w:bottom w:val="single" w:sz="4" w:space="0" w:color="555555"/>
                    <w:right w:val="single" w:sz="4" w:space="0" w:color="555555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24"/>
                  </w:tblGrid>
                  <w:tr w:rsidR="00AB02CB" w:rsidRPr="00AB02CB">
                    <w:tc>
                      <w:tcPr>
                        <w:tcW w:w="0" w:type="auto"/>
                        <w:tcBorders>
                          <w:top w:val="single" w:sz="4" w:space="0" w:color="555555"/>
                          <w:left w:val="single" w:sz="4" w:space="0" w:color="555555"/>
                          <w:bottom w:val="single" w:sz="4" w:space="0" w:color="555555"/>
                          <w:right w:val="single" w:sz="4" w:space="0" w:color="555555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8"/>
                          <w:gridCol w:w="7385"/>
                          <w:gridCol w:w="11"/>
                        </w:tblGrid>
                        <w:tr w:rsidR="00AB02CB" w:rsidRPr="00AB02CB">
                          <w:tc>
                            <w:tcPr>
                              <w:tcW w:w="5000" w:type="pct"/>
                              <w:gridSpan w:val="3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02CB" w:rsidRPr="00AB02CB">
                          <w:tc>
                            <w:tcPr>
                              <w:tcW w:w="450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75" w:lineRule="atLeast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tcBorders>
                                <w:top w:val="single" w:sz="4" w:space="0" w:color="555555"/>
                                <w:left w:val="single" w:sz="4" w:space="0" w:color="555555"/>
                                <w:bottom w:val="single" w:sz="4" w:space="0" w:color="555555"/>
                                <w:right w:val="single" w:sz="4" w:space="0" w:color="555555"/>
                              </w:tcBorders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18"/>
                                </w:rPr>
                                <w:t>__________________________________________________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Всероссийская программа «Дни финансовой грамотности в учебных заведениях» проводится с 2011 года в рамках профессионального праздника «День финансиста» при поддержке Министерства финансов Российской Федерации, Министерства Просвещения Российской Федерации и Банка России.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Программа представляет собой комплекс мероприятий и проводится на безвозмездной основе для участников образовательного процесса общеобразовательных, профессиональных образовательных организаций и высших учебных заведений.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Целью Программы является формирование финансовой культуры и навыков эффективного управления личными финансами, а также финансовой безопасности граждан России.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2018 - 2019 учебный год.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lastRenderedPageBreak/>
                                <w:t>Организатор Программы: Ассоциация «САПФИР».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Участник Программы: Негосударственный пенсионный фонд «ГАЗФОНД».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Официальный партнер Программы: Национальный расчетный депозитарий.</w:t>
                              </w:r>
                            </w:p>
                            <w:p w:rsidR="00AB02CB" w:rsidRPr="00AB02CB" w:rsidRDefault="00AB02CB" w:rsidP="00AB02CB">
                              <w:pPr>
                                <w:spacing w:after="125" w:line="240" w:lineRule="auto"/>
                                <w:rPr>
                                  <w:rFonts w:ascii="Tahoma" w:eastAsia="Times New Roman" w:hAnsi="Tahoma" w:cs="Tahom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 xml:space="preserve">Стратегические партнеры Программы: АНО «Институт развития финансовых рынков», НОЧУ </w:t>
                              </w:r>
                              <w:proofErr w:type="gramStart"/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>ВО</w:t>
                              </w:r>
                              <w:proofErr w:type="gramEnd"/>
                              <w:r w:rsidRPr="00AB02CB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44444"/>
                                  <w:sz w:val="18"/>
                                </w:rPr>
                                <w:t xml:space="preserve"> «Московский финансово-промышленный университет «Синергия».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B02CB" w:rsidRPr="00AB02CB" w:rsidRDefault="00AB02CB" w:rsidP="00AB02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B02CB" w:rsidRPr="00AB02CB" w:rsidRDefault="00AB02CB" w:rsidP="00AB02CB">
                        <w:pPr>
                          <w:spacing w:after="0" w:line="275" w:lineRule="atLeast"/>
                          <w:rPr>
                            <w:rFonts w:ascii="Tahoma" w:eastAsia="Times New Roman" w:hAnsi="Tahoma" w:cs="Tahoma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02CB" w:rsidRPr="00AB02CB" w:rsidRDefault="00AB02CB" w:rsidP="00AB02CB">
                  <w:pPr>
                    <w:spacing w:after="0" w:line="275" w:lineRule="atLeast"/>
                    <w:rPr>
                      <w:rFonts w:ascii="Tahoma" w:eastAsia="Times New Roman" w:hAnsi="Tahoma" w:cs="Tahoma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AB02CB" w:rsidRPr="00AB02CB" w:rsidRDefault="00AB02CB" w:rsidP="00AB02CB">
            <w:pPr>
              <w:spacing w:after="0" w:line="275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</w:tbl>
    <w:p w:rsidR="002C4F13" w:rsidRDefault="002C4F13"/>
    <w:sectPr w:rsidR="002C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02CB"/>
    <w:rsid w:val="002C4F13"/>
    <w:rsid w:val="00AB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B02CB"/>
    <w:rPr>
      <w:b/>
      <w:bCs/>
    </w:rPr>
  </w:style>
  <w:style w:type="character" w:styleId="a4">
    <w:name w:val="Hyperlink"/>
    <w:basedOn w:val="a0"/>
    <w:uiPriority w:val="99"/>
    <w:semiHidden/>
    <w:unhideWhenUsed/>
    <w:rsid w:val="00AB02CB"/>
    <w:rPr>
      <w:color w:val="0000FF"/>
      <w:u w:val="single"/>
    </w:rPr>
  </w:style>
  <w:style w:type="character" w:styleId="a5">
    <w:name w:val="Emphasis"/>
    <w:basedOn w:val="a0"/>
    <w:uiPriority w:val="20"/>
    <w:qFormat/>
    <w:rsid w:val="00AB02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5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412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17810726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44058.stat-pulse.com/go/ec/e9c2d0c80434fa2d66484cdac9d420cc/ci/ODQ1NDIyOA==/ui/NTQ0MDU4/li/MTkyODgwNzE4/re/aXNyYXBpbC50YXltYXpvdkBtYWlsLnJ1/l/aHR0cCUzQSUyRiUyRmRuaWZnLnJ1JTJGcHJvamVjdHMlMkZjb250ZXN0JTJ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e.mail.ru/compose?To=info@dnif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544058.stat-pulse.com/go/ec/e9c2d0c80434fa2d66484cdac9d420cc/ci/ODQ1NDIyOA==/ui/NTQ0MDU4/li/MTkyODgwNzE3/re/aXNyYXBpbC50YXltYXpvdkBtYWlsLnJ1/l/aHR0cCUzQSUyRiUyRmRuaWZnLnJ1JTJGcHJvamVjdHMlMkZjb250ZXN0JTJ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>Kraftway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2020-03-04T07:00:00Z</dcterms:created>
  <dcterms:modified xsi:type="dcterms:W3CDTF">2020-03-04T07:00:00Z</dcterms:modified>
</cp:coreProperties>
</file>